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70C8" w:rsidRDefault="000C3AF8">
      <w:pPr>
        <w:rPr>
          <w:rFonts w:ascii="Arial" w:hAnsi="Arial" w:cs="Arial"/>
          <w:b/>
          <w:color w:val="34BAED"/>
          <w:sz w:val="28"/>
          <w:szCs w:val="28"/>
        </w:rPr>
      </w:pPr>
      <w:r>
        <w:rPr>
          <w:rFonts w:ascii="Arial" w:hAnsi="Arial" w:cs="Arial"/>
          <w:b/>
          <w:color w:val="34BAED"/>
          <w:sz w:val="28"/>
          <w:szCs w:val="28"/>
        </w:rPr>
        <w:t>CHANGE ANALYSIS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2537"/>
      </w:tblGrid>
      <w:tr w:rsidR="000C3AF8" w:rsidTr="004139A0">
        <w:tc>
          <w:tcPr>
            <w:tcW w:w="12743" w:type="dxa"/>
            <w:gridSpan w:val="7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Default="000C3AF8" w:rsidP="000C3AF8">
            <w:pPr>
              <w:rPr>
                <w:rFonts w:ascii="Arial" w:hAnsi="Arial" w:cs="Arial"/>
                <w:color w:val="34BAED"/>
                <w:sz w:val="28"/>
                <w:szCs w:val="28"/>
              </w:rPr>
            </w:pPr>
            <w:r>
              <w:rPr>
                <w:rFonts w:ascii="Arial" w:hAnsi="Arial" w:cs="Arial"/>
                <w:color w:val="34BAED"/>
                <w:sz w:val="28"/>
                <w:szCs w:val="28"/>
              </w:rPr>
              <w:t xml:space="preserve">PROCESS UNDER REVIEW: </w:t>
            </w:r>
          </w:p>
        </w:tc>
      </w:tr>
      <w:tr w:rsidR="000C3AF8" w:rsidTr="004139A0"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Best practice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Actual Practice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Was there divergence (y/n)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Did the divergence lead to sub-standard care (y/n)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Priority to address</w:t>
            </w:r>
          </w:p>
        </w:tc>
        <w:tc>
          <w:tcPr>
            <w:tcW w:w="2537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Changes required</w:t>
            </w:r>
          </w:p>
        </w:tc>
      </w:tr>
      <w:tr w:rsidR="000C3AF8" w:rsidTr="004139A0">
        <w:trPr>
          <w:trHeight w:hRule="exact" w:val="1701"/>
        </w:trPr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1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</w:tr>
      <w:tr w:rsidR="000C3AF8" w:rsidTr="004139A0">
        <w:trPr>
          <w:trHeight w:hRule="exact" w:val="1701"/>
        </w:trPr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2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</w:tr>
      <w:tr w:rsidR="000C3AF8" w:rsidTr="004139A0">
        <w:trPr>
          <w:trHeight w:hRule="exact" w:val="1701"/>
        </w:trPr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3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  <w:tc>
          <w:tcPr>
            <w:tcW w:w="2537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>
            <w:pPr>
              <w:rPr>
                <w:rFonts w:ascii="Arial" w:hAnsi="Arial" w:cs="Arial"/>
              </w:rPr>
            </w:pPr>
          </w:p>
        </w:tc>
      </w:tr>
    </w:tbl>
    <w:p w:rsidR="000C3AF8" w:rsidRDefault="000C3AF8">
      <w:pPr>
        <w:rPr>
          <w:rFonts w:ascii="Arial" w:hAnsi="Arial" w:cs="Arial"/>
          <w:color w:val="34BAED"/>
          <w:sz w:val="28"/>
          <w:szCs w:val="28"/>
        </w:rPr>
      </w:pPr>
    </w:p>
    <w:p w:rsidR="000C3AF8" w:rsidRDefault="000C3AF8">
      <w:pPr>
        <w:rPr>
          <w:rFonts w:ascii="Arial" w:hAnsi="Arial" w:cs="Arial"/>
          <w:color w:val="34BAED"/>
          <w:sz w:val="28"/>
          <w:szCs w:val="28"/>
        </w:rPr>
      </w:pPr>
    </w:p>
    <w:p w:rsidR="000C3AF8" w:rsidRDefault="000C3AF8">
      <w:pPr>
        <w:rPr>
          <w:rFonts w:ascii="Arial" w:hAnsi="Arial" w:cs="Arial"/>
          <w:color w:val="34BAED"/>
          <w:sz w:val="28"/>
          <w:szCs w:val="28"/>
        </w:rPr>
      </w:pPr>
    </w:p>
    <w:p w:rsidR="000C3AF8" w:rsidRDefault="000C3AF8" w:rsidP="000C3AF8">
      <w:pPr>
        <w:rPr>
          <w:rFonts w:ascii="Arial" w:hAnsi="Arial" w:cs="Arial"/>
          <w:b/>
          <w:color w:val="34BAED"/>
          <w:sz w:val="28"/>
          <w:szCs w:val="28"/>
        </w:rPr>
      </w:pPr>
      <w:r>
        <w:rPr>
          <w:rFonts w:ascii="Arial" w:hAnsi="Arial" w:cs="Arial"/>
          <w:b/>
          <w:color w:val="34BAED"/>
          <w:sz w:val="28"/>
          <w:szCs w:val="28"/>
        </w:rPr>
        <w:lastRenderedPageBreak/>
        <w:t xml:space="preserve">EXAMPLE </w:t>
      </w:r>
      <w:r>
        <w:rPr>
          <w:rFonts w:ascii="Arial" w:hAnsi="Arial" w:cs="Arial"/>
          <w:b/>
          <w:color w:val="34BAED"/>
          <w:sz w:val="28"/>
          <w:szCs w:val="28"/>
        </w:rPr>
        <w:t>CHANGE ANALYSIS TABLE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1"/>
        <w:gridCol w:w="1701"/>
        <w:gridCol w:w="1701"/>
        <w:gridCol w:w="1701"/>
        <w:gridCol w:w="1701"/>
        <w:gridCol w:w="1701"/>
        <w:gridCol w:w="2537"/>
      </w:tblGrid>
      <w:tr w:rsidR="000C3AF8" w:rsidTr="00D76224">
        <w:tc>
          <w:tcPr>
            <w:tcW w:w="12743" w:type="dxa"/>
            <w:gridSpan w:val="7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Default="000C3AF8" w:rsidP="00226654">
            <w:pPr>
              <w:rPr>
                <w:rFonts w:ascii="Arial" w:hAnsi="Arial" w:cs="Arial"/>
                <w:color w:val="34BAED"/>
                <w:sz w:val="28"/>
                <w:szCs w:val="28"/>
              </w:rPr>
            </w:pPr>
            <w:r>
              <w:rPr>
                <w:rFonts w:ascii="Arial" w:hAnsi="Arial" w:cs="Arial"/>
                <w:color w:val="34BAED"/>
                <w:sz w:val="28"/>
                <w:szCs w:val="28"/>
              </w:rPr>
              <w:t xml:space="preserve">PROCESS UNDER REVIEW: </w:t>
            </w:r>
          </w:p>
        </w:tc>
      </w:tr>
      <w:tr w:rsidR="000C3AF8" w:rsidTr="00D76224"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 w:rsidP="00226654">
            <w:pPr>
              <w:rPr>
                <w:rFonts w:ascii="Arial" w:hAnsi="Arial" w:cs="Arial"/>
                <w:color w:val="FFFFFF" w:themeColor="background1"/>
              </w:rPr>
            </w:pP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 w:rsidP="00226654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Best practice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 w:rsidP="00226654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Actual Practice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 w:rsidP="00226654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Was there divergence (y/n)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 w:rsidP="00226654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Did the divergence lead to sub-standard care (y/n)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 w:rsidP="00226654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Priority to address</w:t>
            </w:r>
          </w:p>
        </w:tc>
        <w:tc>
          <w:tcPr>
            <w:tcW w:w="2537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  <w:shd w:val="clear" w:color="auto" w:fill="34BAED"/>
          </w:tcPr>
          <w:p w:rsidR="000C3AF8" w:rsidRPr="000C3AF8" w:rsidRDefault="000C3AF8" w:rsidP="00226654">
            <w:pPr>
              <w:rPr>
                <w:rFonts w:ascii="Arial" w:hAnsi="Arial" w:cs="Arial"/>
                <w:color w:val="FFFFFF" w:themeColor="background1"/>
              </w:rPr>
            </w:pPr>
            <w:r w:rsidRPr="000C3AF8">
              <w:rPr>
                <w:rFonts w:ascii="Arial" w:hAnsi="Arial" w:cs="Arial"/>
                <w:color w:val="FFFFFF" w:themeColor="background1"/>
              </w:rPr>
              <w:t>Changes required</w:t>
            </w:r>
          </w:p>
        </w:tc>
      </w:tr>
      <w:tr w:rsidR="000C3AF8" w:rsidTr="00D76224">
        <w:trPr>
          <w:trHeight w:hRule="exact" w:val="1701"/>
        </w:trPr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1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Annual foot check completed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Last foot check missed as didn’t receive reminder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537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Send appointment reminder via letter and text message</w:t>
            </w:r>
          </w:p>
        </w:tc>
      </w:tr>
      <w:tr w:rsidR="000C3AF8" w:rsidTr="00D76224">
        <w:trPr>
          <w:trHeight w:hRule="exact" w:val="1701"/>
        </w:trPr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2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checks feet and shoes outside of annual foot check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has family member check feet, but socks not removed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537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packs on how to complete foot checks provided at annual checks</w:t>
            </w:r>
          </w:p>
        </w:tc>
      </w:tr>
      <w:tr w:rsidR="000C3AF8" w:rsidTr="00D76224">
        <w:trPr>
          <w:trHeight w:hRule="exact" w:val="2264"/>
        </w:trPr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Step 3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knows to take notice of any loss of feeling in feet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Patient did not notice loss of feeling in feet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1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37" w:type="dxa"/>
            <w:tcBorders>
              <w:top w:val="single" w:sz="12" w:space="0" w:color="11296B"/>
              <w:left w:val="single" w:sz="12" w:space="0" w:color="11296B"/>
              <w:bottom w:val="single" w:sz="12" w:space="0" w:color="11296B"/>
              <w:right w:val="single" w:sz="12" w:space="0" w:color="11296B"/>
            </w:tcBorders>
          </w:tcPr>
          <w:p w:rsidR="000C3AF8" w:rsidRPr="000C3AF8" w:rsidRDefault="000C3AF8" w:rsidP="0022665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Review patient education at annual foot checks to ensure this is discussed. Ensure local diabetes education programmes include a section on looking after your feet. </w:t>
            </w:r>
          </w:p>
        </w:tc>
      </w:tr>
    </w:tbl>
    <w:p w:rsidR="000C3AF8" w:rsidRPr="000C3AF8" w:rsidRDefault="000C3AF8">
      <w:pPr>
        <w:rPr>
          <w:rFonts w:ascii="Arial" w:hAnsi="Arial" w:cs="Arial"/>
          <w:color w:val="34BAED"/>
          <w:sz w:val="28"/>
          <w:szCs w:val="28"/>
        </w:rPr>
      </w:pPr>
    </w:p>
    <w:sectPr w:rsidR="000C3AF8" w:rsidRPr="000C3AF8" w:rsidSect="000C3AF8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AF8"/>
    <w:rsid w:val="000C3AF8"/>
    <w:rsid w:val="0015344B"/>
    <w:rsid w:val="004139A0"/>
    <w:rsid w:val="00643B0D"/>
    <w:rsid w:val="00CB70C8"/>
    <w:rsid w:val="00D76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66963E-9DB3-468D-82F4-37D309571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C3A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Diabetes UK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Evans</dc:creator>
  <cp:keywords/>
  <dc:description/>
  <cp:lastModifiedBy>Jayne Evans</cp:lastModifiedBy>
  <cp:revision>4</cp:revision>
  <dcterms:created xsi:type="dcterms:W3CDTF">2016-07-08T13:15:00Z</dcterms:created>
  <dcterms:modified xsi:type="dcterms:W3CDTF">2016-07-08T14:14:00Z</dcterms:modified>
</cp:coreProperties>
</file>